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4B5AA">
      <w:pPr>
        <w:pStyle w:val="7"/>
        <w:numPr>
          <w:ilvl w:val="2"/>
          <w:numId w:val="0"/>
        </w:numPr>
        <w:shd w:val="clear"/>
        <w:tabs>
          <w:tab w:val="left" w:pos="709"/>
        </w:tabs>
        <w:spacing w:before="192"/>
        <w:jc w:val="center"/>
        <w:rPr>
          <w:rFonts w:hint="default" w:ascii="Times New Roman" w:hAnsi="Times New Roman" w:cs="Times New Roman" w:eastAsiaTheme="minorEastAsia"/>
          <w:b/>
          <w:bCs/>
          <w:i w:val="0"/>
          <w:iCs/>
          <w:kern w:val="2"/>
          <w:sz w:val="28"/>
          <w:szCs w:val="28"/>
          <w:lang w:val="en-US" w:eastAsia="zh-CN" w:bidi="ar-SA"/>
        </w:rPr>
      </w:pPr>
      <w:r>
        <w:rPr>
          <w:rFonts w:hint="default" w:ascii="Times New Roman" w:hAnsi="Times New Roman" w:cs="Times New Roman" w:eastAsiaTheme="minorEastAsia"/>
          <w:b/>
          <w:bCs/>
          <w:i w:val="0"/>
          <w:iCs/>
          <w:kern w:val="2"/>
          <w:sz w:val="28"/>
          <w:szCs w:val="28"/>
          <w:lang w:val="en-US" w:eastAsia="zh-CN" w:bidi="ar-SA"/>
        </w:rPr>
        <w:t>Variable Definitions and Coding Schemes</w:t>
      </w:r>
    </w:p>
    <w:p w14:paraId="05B56045">
      <w:pPr>
        <w:pStyle w:val="7"/>
        <w:numPr>
          <w:ilvl w:val="2"/>
          <w:numId w:val="0"/>
        </w:numPr>
        <w:shd w:val="clear"/>
        <w:tabs>
          <w:tab w:val="left" w:pos="709"/>
        </w:tabs>
        <w:spacing w:before="192"/>
        <w:rPr>
          <w:rFonts w:hint="eastAsia" w:ascii="Times New Roman" w:hAnsi="Times New Roman" w:cs="Times New Roman" w:eastAsiaTheme="minorEastAsia"/>
          <w:b/>
          <w:bCs/>
          <w:i w:val="0"/>
          <w:iCs/>
          <w:kern w:val="2"/>
          <w:sz w:val="24"/>
          <w:szCs w:val="24"/>
          <w:lang w:val="en-US" w:eastAsia="zh-CN" w:bidi="ar-SA"/>
        </w:rPr>
      </w:pPr>
      <w:r>
        <w:rPr>
          <w:rFonts w:hint="eastAsia" w:ascii="Times New Roman" w:hAnsi="Times New Roman" w:cs="Times New Roman" w:eastAsiaTheme="minorEastAsia"/>
          <w:b/>
          <w:bCs/>
          <w:i w:val="0"/>
          <w:iCs/>
          <w:kern w:val="2"/>
          <w:sz w:val="24"/>
          <w:szCs w:val="24"/>
          <w:lang w:val="en-US" w:eastAsia="zh-CN" w:bidi="ar-SA"/>
        </w:rPr>
        <w:t>1.</w:t>
      </w:r>
      <w:r>
        <w:rPr>
          <w:rFonts w:hint="default" w:ascii="Times New Roman" w:hAnsi="Times New Roman" w:cs="Times New Roman" w:eastAsiaTheme="minorEastAsia"/>
          <w:b/>
          <w:bCs/>
          <w:i w:val="0"/>
          <w:iCs/>
          <w:kern w:val="2"/>
          <w:sz w:val="24"/>
          <w:szCs w:val="24"/>
          <w:lang w:val="en-US" w:eastAsia="zh-CN" w:bidi="ar-SA"/>
        </w:rPr>
        <w:t>Challenging Parenting Behavior (CPBQ 4-6)</w:t>
      </w:r>
    </w:p>
    <w:p w14:paraId="1A6DF650">
      <w:pPr>
        <w:widowControl w:val="0"/>
        <w:numPr>
          <w:numId w:val="0"/>
        </w:numPr>
        <w:pBdr>
          <w:top w:val="none" w:color="auto" w:sz="0" w:space="0"/>
          <w:left w:val="none" w:color="auto" w:sz="0" w:space="0"/>
          <w:bottom w:val="none" w:color="auto" w:sz="0" w:space="0"/>
          <w:right w:val="none" w:color="auto" w:sz="0" w:space="0"/>
        </w:pBdr>
        <w:shd w:val="clear"/>
        <w:jc w:val="both"/>
        <w:rPr>
          <w:rFonts w:hint="eastAsia"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Definition</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Challenging</w:t>
      </w:r>
      <w:r>
        <w:rPr>
          <w:rFonts w:hint="default" w:ascii="Times New Roman" w:hAnsi="Times New Roman" w:cs="Times New Roman" w:eastAsiaTheme="minorEastAsia"/>
          <w:i w:val="0"/>
          <w:iCs/>
          <w:kern w:val="2"/>
          <w:sz w:val="24"/>
          <w:szCs w:val="24"/>
          <w:lang w:val="en-US" w:eastAsia="zh-CN" w:bidi="ar-SA"/>
        </w:rPr>
        <w:t xml:space="preserve"> </w:t>
      </w:r>
      <w:r>
        <w:rPr>
          <w:rFonts w:hint="default" w:ascii="Times New Roman" w:hAnsi="Times New Roman" w:cs="Times New Roman" w:eastAsiaTheme="minorEastAsia"/>
          <w:i w:val="0"/>
          <w:iCs/>
          <w:kern w:val="2"/>
          <w:sz w:val="24"/>
          <w:szCs w:val="24"/>
          <w:lang w:val="en-US" w:eastAsia="zh-CN" w:bidi="ar-SA"/>
        </w:rPr>
        <w:t>Parenting</w:t>
      </w:r>
      <w:r>
        <w:rPr>
          <w:rFonts w:hint="default" w:ascii="Times New Roman" w:hAnsi="Times New Roman" w:cs="Times New Roman" w:eastAsiaTheme="minorEastAsia"/>
          <w:i w:val="0"/>
          <w:iCs/>
          <w:kern w:val="2"/>
          <w:sz w:val="24"/>
          <w:szCs w:val="24"/>
          <w:lang w:val="en-US" w:eastAsia="zh-CN" w:bidi="ar-SA"/>
        </w:rPr>
        <w:t xml:space="preserve"> </w:t>
      </w:r>
      <w:r>
        <w:rPr>
          <w:rFonts w:hint="default" w:ascii="Times New Roman" w:hAnsi="Times New Roman" w:cs="Times New Roman" w:eastAsiaTheme="minorEastAsia"/>
          <w:i w:val="0"/>
          <w:iCs/>
          <w:kern w:val="2"/>
          <w:sz w:val="24"/>
          <w:szCs w:val="24"/>
          <w:lang w:val="en-US" w:eastAsia="zh-CN" w:bidi="ar-SA"/>
        </w:rPr>
        <w:t>Behavio</w:t>
      </w:r>
      <w:r>
        <w:rPr>
          <w:rFonts w:hint="default" w:ascii="Times New Roman" w:hAnsi="Times New Roman" w:cs="Times New Roman" w:eastAsiaTheme="minorEastAsia"/>
          <w:i w:val="0"/>
          <w:iCs/>
          <w:kern w:val="2"/>
          <w:sz w:val="24"/>
          <w:szCs w:val="24"/>
          <w:lang w:val="en-US" w:eastAsia="zh-CN" w:bidi="ar-SA"/>
        </w:rPr>
        <w:t>r</w:t>
      </w:r>
      <w:r>
        <w:rPr>
          <w:rFonts w:hint="eastAsia" w:ascii="Times New Roman" w:hAnsi="Times New Roman" w:cs="Times New Roman" w:eastAsiaTheme="minorEastAsia"/>
          <w:i w:val="0"/>
          <w:iCs/>
          <w:kern w:val="2"/>
          <w:sz w:val="24"/>
          <w:szCs w:val="24"/>
          <w:lang w:val="en-US" w:eastAsia="zh-CN" w:bidi="ar-SA"/>
        </w:rPr>
        <w:t xml:space="preserve"> </w:t>
      </w:r>
      <w:r>
        <w:rPr>
          <w:rFonts w:hint="default" w:ascii="Times New Roman" w:hAnsi="Times New Roman" w:cs="Times New Roman" w:eastAsiaTheme="minorEastAsia"/>
          <w:i w:val="0"/>
          <w:iCs/>
          <w:kern w:val="2"/>
          <w:sz w:val="24"/>
          <w:szCs w:val="24"/>
          <w:lang w:val="en-US" w:eastAsia="zh-CN" w:bidi="ar-SA"/>
        </w:rPr>
        <w:t>refer to the active physical and verbal actions through which parents encourage children to push their limits, such as rough-and-tumble play, social bravery, fostering confidence, or performance encouragement. This construct includes six dimensions: social bravery, rough-and-tumble play, encouragement of risk-taking, playful teasing, modeling, and competition.</w:t>
      </w:r>
    </w:p>
    <w:p w14:paraId="7D48113C">
      <w:pPr>
        <w:widowControl w:val="0"/>
        <w:numPr>
          <w:numId w:val="0"/>
        </w:numPr>
        <w:pBdr>
          <w:top w:val="none" w:color="auto" w:sz="0" w:space="0"/>
          <w:left w:val="none" w:color="auto" w:sz="0" w:space="0"/>
          <w:bottom w:val="none" w:color="auto" w:sz="0" w:space="0"/>
          <w:right w:val="none" w:color="auto" w:sz="0" w:space="0"/>
        </w:pBdr>
        <w:shd w:val="clear"/>
        <w:jc w:val="both"/>
        <w:rPr>
          <w:rFonts w:hint="eastAsia"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Measurement Tool</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The revised version of the Challenging Parenting Behavior Questionnai</w:t>
      </w:r>
      <w:r>
        <w:rPr>
          <w:rFonts w:hint="default" w:ascii="Times New Roman" w:hAnsi="Times New Roman" w:cs="Times New Roman" w:eastAsiaTheme="minorEastAsia"/>
          <w:b w:val="0"/>
          <w:bCs w:val="0"/>
          <w:i w:val="0"/>
          <w:iCs/>
          <w:kern w:val="2"/>
          <w:sz w:val="24"/>
          <w:szCs w:val="24"/>
          <w:lang w:val="en-US" w:eastAsia="zh-CN" w:bidi="ar-SA"/>
        </w:rPr>
        <w:t xml:space="preserve">re </w:t>
      </w:r>
      <w:r>
        <w:rPr>
          <w:rFonts w:hint="default" w:ascii="Times New Roman" w:hAnsi="Times New Roman" w:cs="Times New Roman" w:eastAsiaTheme="minorEastAsia"/>
          <w:b w:val="0"/>
          <w:bCs w:val="0"/>
          <w:i w:val="0"/>
          <w:iCs/>
          <w:kern w:val="2"/>
          <w:sz w:val="24"/>
          <w:szCs w:val="24"/>
          <w:lang w:val="en-US" w:eastAsia="zh-CN" w:bidi="ar-SA"/>
        </w:rPr>
        <w:t>(CPBQ 4-6)</w:t>
      </w:r>
      <w:r>
        <w:rPr>
          <w:rFonts w:hint="default" w:ascii="Times New Roman" w:hAnsi="Times New Roman" w:cs="Times New Roman" w:eastAsiaTheme="minorEastAsia"/>
          <w:b w:val="0"/>
          <w:bCs w:val="0"/>
          <w:i w:val="0"/>
          <w:iCs/>
          <w:kern w:val="2"/>
          <w:sz w:val="24"/>
          <w:szCs w:val="24"/>
          <w:lang w:val="en-US" w:eastAsia="zh-CN" w:bidi="ar-SA"/>
        </w:rPr>
        <w:t xml:space="preserve"> </w:t>
      </w:r>
      <w:r>
        <w:rPr>
          <w:rFonts w:hint="default" w:ascii="Times New Roman" w:hAnsi="Times New Roman" w:cs="Times New Roman" w:eastAsiaTheme="minorEastAsia"/>
          <w:i w:val="0"/>
          <w:iCs/>
          <w:kern w:val="2"/>
          <w:sz w:val="24"/>
          <w:szCs w:val="24"/>
          <w:lang w:val="en-US" w:eastAsia="zh-CN" w:bidi="ar-SA"/>
        </w:rPr>
        <w:t>was adopted. This questionnaire consists of 28 items, divided into six dimensions: social bravery, rough-and-tumble play, encouragement of risk-taking, playful teasing, modeling, and competition. All items are rated on a 5-point Likert scale (1 = "completely disagree" to 5 = "completely agree").</w:t>
      </w:r>
    </w:p>
    <w:p w14:paraId="20C641C1">
      <w:pPr>
        <w:widowControl w:val="0"/>
        <w:numPr>
          <w:numId w:val="0"/>
        </w:numPr>
        <w:pBdr>
          <w:top w:val="none" w:color="auto" w:sz="0" w:space="0"/>
          <w:left w:val="none" w:color="auto" w:sz="0" w:space="0"/>
          <w:bottom w:val="none" w:color="auto" w:sz="0" w:space="0"/>
          <w:right w:val="none" w:color="auto" w:sz="0" w:space="0"/>
        </w:pBdr>
        <w:shd w:val="clear"/>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Coding Scheme</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The mean score is calculated after summing the scores of all items, with higher scores indicating a higher level of challenging parenting behavior in that dimension.</w:t>
      </w:r>
    </w:p>
    <w:p w14:paraId="7DC59E49">
      <w:pPr>
        <w:widowControl w:val="0"/>
        <w:numPr>
          <w:ilvl w:val="0"/>
          <w:numId w:val="0"/>
        </w:numPr>
        <w:pBdr>
          <w:top w:val="none" w:color="auto" w:sz="0" w:space="0"/>
          <w:left w:val="none" w:color="auto" w:sz="0" w:space="0"/>
          <w:bottom w:val="none" w:color="auto" w:sz="0" w:space="0"/>
          <w:right w:val="none" w:color="auto" w:sz="0" w:space="0"/>
        </w:pBdr>
        <w:shd w:val="clear"/>
        <w:ind w:left="0" w:leftChars="0" w:firstLine="0" w:firstLineChars="0"/>
        <w:jc w:val="both"/>
        <w:rPr>
          <w:rFonts w:hint="eastAsia" w:ascii="Times New Roman" w:hAnsi="Times New Roman" w:cs="Times New Roman" w:eastAsiaTheme="minorEastAsia"/>
          <w:b/>
          <w:bCs/>
          <w:i w:val="0"/>
          <w:iCs/>
          <w:kern w:val="2"/>
          <w:sz w:val="24"/>
          <w:szCs w:val="24"/>
          <w:lang w:val="en-US" w:eastAsia="zh-CN" w:bidi="ar-SA"/>
        </w:rPr>
      </w:pPr>
      <w:r>
        <w:rPr>
          <w:rFonts w:hint="eastAsia" w:ascii="Times New Roman" w:hAnsi="Times New Roman" w:cs="Times New Roman" w:eastAsiaTheme="minorEastAsia"/>
          <w:b/>
          <w:bCs/>
          <w:i w:val="0"/>
          <w:iCs/>
          <w:kern w:val="2"/>
          <w:sz w:val="24"/>
          <w:szCs w:val="24"/>
          <w:lang w:val="en-US" w:eastAsia="zh-CN" w:bidi="ar-SA"/>
        </w:rPr>
        <w:t>2.</w:t>
      </w:r>
      <w:r>
        <w:rPr>
          <w:rFonts w:hint="default" w:ascii="Times New Roman" w:hAnsi="Times New Roman" w:cs="Times New Roman" w:eastAsiaTheme="minorEastAsia"/>
          <w:b/>
          <w:bCs/>
          <w:i w:val="0"/>
          <w:iCs/>
          <w:kern w:val="2"/>
          <w:sz w:val="24"/>
          <w:szCs w:val="24"/>
          <w:lang w:val="en-US" w:eastAsia="zh-CN" w:bidi="ar-SA"/>
        </w:rPr>
        <w:t>Creative Personality</w:t>
      </w:r>
    </w:p>
    <w:p w14:paraId="755C4042">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eastAsia"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Definition</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Creative Personality</w:t>
      </w:r>
      <w:r>
        <w:rPr>
          <w:rFonts w:hint="eastAsia" w:ascii="Times New Roman" w:hAnsi="Times New Roman" w:cs="Times New Roman" w:eastAsiaTheme="minorEastAsia"/>
          <w:i w:val="0"/>
          <w:iCs/>
          <w:kern w:val="2"/>
          <w:sz w:val="24"/>
          <w:szCs w:val="24"/>
          <w:lang w:val="en-US" w:eastAsia="zh-CN" w:bidi="ar-SA"/>
        </w:rPr>
        <w:t xml:space="preserve"> </w:t>
      </w:r>
      <w:r>
        <w:rPr>
          <w:rFonts w:hint="default" w:ascii="Times New Roman" w:hAnsi="Times New Roman" w:cs="Times New Roman" w:eastAsiaTheme="minorEastAsia"/>
          <w:i w:val="0"/>
          <w:iCs/>
          <w:kern w:val="2"/>
          <w:sz w:val="24"/>
          <w:szCs w:val="24"/>
          <w:lang w:val="en-US" w:eastAsia="zh-CN" w:bidi="ar-SA"/>
        </w:rPr>
        <w:t>refers to the relatively stable psychological tendencies and characteristics exhibited by young children in creative activities, encompassing their self-role awareness and self-efficacy consciousness during such activities. It comprises four dimensions: risk-taking, curiosity, imagination, and challenge-seeking.</w:t>
      </w:r>
    </w:p>
    <w:p w14:paraId="02E2F9C3">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eastAsia"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Measurement Tool</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The Creativity Assessment Packet was adopted. This scale can be used by parents and teachers to assess children's creative personality. It contains 40 items, with items 21 and 36 being reverse-scored. The items are divided into four sub-dimensions: risk-taking, curiosity, imagination, and challenge. All items are rated on a 3-point scale ("completely disagree," "partially agree," "completely agree").</w:t>
      </w:r>
    </w:p>
    <w:p w14:paraId="7D3260EB">
      <w:pPr>
        <w:widowControl w:val="0"/>
        <w:numPr>
          <w:numId w:val="0"/>
        </w:numPr>
        <w:pBdr>
          <w:top w:val="none" w:color="auto" w:sz="0" w:space="0"/>
          <w:left w:val="none" w:color="auto" w:sz="0" w:space="0"/>
          <w:bottom w:val="none" w:color="auto" w:sz="0" w:space="0"/>
          <w:right w:val="none" w:color="auto" w:sz="0" w:space="0"/>
        </w:pBdr>
        <w:shd w:val="clear"/>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Coding Scheme</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After adjusting the reverse-scored items, the mean score is calculated by summing the scores of all items, with higher scores indicating a more pronounced creative personality in the child.</w:t>
      </w:r>
    </w:p>
    <w:p w14:paraId="319863B4">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eastAsia" w:ascii="Times New Roman" w:hAnsi="Times New Roman" w:cs="Times New Roman" w:eastAsiaTheme="minorEastAsia"/>
          <w:b/>
          <w:bCs/>
          <w:i w:val="0"/>
          <w:iCs/>
          <w:kern w:val="2"/>
          <w:sz w:val="24"/>
          <w:szCs w:val="24"/>
          <w:lang w:val="en-US" w:eastAsia="zh-CN" w:bidi="ar-SA"/>
        </w:rPr>
      </w:pPr>
      <w:r>
        <w:rPr>
          <w:rFonts w:hint="eastAsia" w:ascii="Times New Roman" w:hAnsi="Times New Roman" w:cs="Times New Roman" w:eastAsiaTheme="minorEastAsia"/>
          <w:b/>
          <w:bCs/>
          <w:i w:val="0"/>
          <w:iCs/>
          <w:kern w:val="2"/>
          <w:sz w:val="24"/>
          <w:szCs w:val="24"/>
          <w:lang w:val="en-US" w:eastAsia="zh-CN" w:bidi="ar-SA"/>
        </w:rPr>
        <w:t>3.</w:t>
      </w:r>
      <w:r>
        <w:rPr>
          <w:rFonts w:hint="default" w:ascii="Times New Roman" w:hAnsi="Times New Roman" w:cs="Times New Roman" w:eastAsiaTheme="minorEastAsia"/>
          <w:b/>
          <w:bCs/>
          <w:i w:val="0"/>
          <w:iCs/>
          <w:kern w:val="2"/>
          <w:sz w:val="24"/>
          <w:szCs w:val="24"/>
          <w:lang w:val="en-US" w:eastAsia="zh-CN" w:bidi="ar-SA"/>
        </w:rPr>
        <w:t>Cognitive Flexibility</w:t>
      </w:r>
    </w:p>
    <w:p w14:paraId="2389CBD0">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Definition</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Cognitive Flexibility</w:t>
      </w:r>
      <w:r>
        <w:rPr>
          <w:rFonts w:hint="eastAsia" w:ascii="Times New Roman" w:hAnsi="Times New Roman" w:cs="Times New Roman" w:eastAsiaTheme="minorEastAsia"/>
          <w:i w:val="0"/>
          <w:iCs/>
          <w:kern w:val="2"/>
          <w:sz w:val="24"/>
          <w:szCs w:val="24"/>
          <w:lang w:val="en-US" w:eastAsia="zh-CN" w:bidi="ar-SA"/>
        </w:rPr>
        <w:t xml:space="preserve"> </w:t>
      </w:r>
      <w:r>
        <w:rPr>
          <w:rFonts w:hint="default" w:ascii="Times New Roman" w:hAnsi="Times New Roman" w:cs="Times New Roman" w:eastAsiaTheme="minorEastAsia"/>
          <w:i w:val="0"/>
          <w:iCs/>
          <w:kern w:val="2"/>
          <w:sz w:val="24"/>
          <w:szCs w:val="24"/>
          <w:lang w:val="en-US" w:eastAsia="zh-CN" w:bidi="ar-SA"/>
        </w:rPr>
        <w:t>refers to the ability of young children to inhibit dominant responses and shift from one reaction to another in order to adapt to changing situations.</w:t>
      </w:r>
    </w:p>
    <w:p w14:paraId="1037656E">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eastAsia"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Measurement Tool</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The Dimensional Change Card Sorting task was adopted. The task was administered using the DCCS program developed with E-Prime 2.0. Scoring was based on the number of correct classifications by the child, with each correct classification scored as 1 and each incorrect classification scored as 0. The experiment consisted of a total of 36 trials, with scores ranging from 0 to 36.</w:t>
      </w:r>
    </w:p>
    <w:p w14:paraId="0E1EE231">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Coding Scheme</w:t>
      </w:r>
      <w:r>
        <w:rPr>
          <w:rFonts w:hint="eastAsia" w:ascii="Times New Roman" w:hAnsi="Times New Roman" w:cs="Times New Roman" w:eastAsiaTheme="minorEastAsia"/>
          <w:b/>
          <w:bCs/>
          <w:i w:val="0"/>
          <w:iCs/>
          <w:kern w:val="2"/>
          <w:sz w:val="24"/>
          <w:szCs w:val="24"/>
          <w:lang w:val="en-US" w:eastAsia="zh-CN" w:bidi="ar-SA"/>
        </w:rPr>
        <w:t>：</w:t>
      </w:r>
      <w:r>
        <w:rPr>
          <w:rFonts w:hint="default" w:ascii="Times New Roman" w:hAnsi="Times New Roman" w:cs="Times New Roman" w:eastAsiaTheme="minorEastAsia"/>
          <w:i w:val="0"/>
          <w:iCs/>
          <w:kern w:val="2"/>
          <w:sz w:val="24"/>
          <w:szCs w:val="24"/>
          <w:lang w:val="en-US" w:eastAsia="zh-CN" w:bidi="ar-SA"/>
        </w:rPr>
        <w:t>The correct responses for the shape and color modules were summed separately, with higher scores indicating better development of cognitive flexibility.</w:t>
      </w:r>
    </w:p>
    <w:p w14:paraId="26E515B4">
      <w:pPr>
        <w:widowControl w:val="0"/>
        <w:numPr>
          <w:ilvl w:val="0"/>
          <w:numId w:val="0"/>
        </w:numPr>
        <w:pBdr>
          <w:top w:val="none" w:color="auto" w:sz="0" w:space="0"/>
          <w:left w:val="none" w:color="auto" w:sz="0" w:space="0"/>
          <w:bottom w:val="none" w:color="auto" w:sz="0" w:space="0"/>
          <w:right w:val="none" w:color="auto" w:sz="0" w:space="0"/>
        </w:pBdr>
        <w:shd w:val="clear"/>
        <w:jc w:val="center"/>
        <w:rPr>
          <w:rFonts w:hint="default" w:ascii="Times New Roman" w:hAnsi="Times New Roman" w:cs="Times New Roman" w:eastAsiaTheme="minorEastAsia"/>
          <w:b/>
          <w:bCs/>
          <w:i w:val="0"/>
          <w:iCs/>
          <w:kern w:val="2"/>
          <w:sz w:val="28"/>
          <w:szCs w:val="28"/>
          <w:lang w:val="en-US" w:eastAsia="zh-CN" w:bidi="ar-SA"/>
        </w:rPr>
      </w:pPr>
      <w:r>
        <w:rPr>
          <w:rFonts w:hint="default" w:ascii="Times New Roman" w:hAnsi="Times New Roman" w:cs="Times New Roman" w:eastAsiaTheme="minorEastAsia"/>
          <w:b/>
          <w:bCs/>
          <w:i w:val="0"/>
          <w:iCs/>
          <w:kern w:val="2"/>
          <w:sz w:val="28"/>
          <w:szCs w:val="28"/>
          <w:lang w:val="en-US" w:eastAsia="zh-CN" w:bidi="ar-SA"/>
        </w:rPr>
        <w:t>Data Transformation Process</w:t>
      </w:r>
    </w:p>
    <w:p w14:paraId="4821B644">
      <w:pPr>
        <w:widowControl w:val="0"/>
        <w:numPr>
          <w:ilvl w:val="0"/>
          <w:numId w:val="0"/>
        </w:numPr>
        <w:pBdr>
          <w:top w:val="none" w:color="auto" w:sz="0" w:space="0"/>
          <w:left w:val="none" w:color="auto" w:sz="0" w:space="0"/>
          <w:bottom w:val="none" w:color="auto" w:sz="0" w:space="0"/>
          <w:right w:val="none" w:color="auto" w:sz="0" w:space="0"/>
        </w:pBdr>
        <w:shd w:val="clear"/>
        <w:jc w:val="center"/>
        <w:rPr>
          <w:rFonts w:hint="default" w:ascii="Times New Roman" w:hAnsi="Times New Roman" w:cs="Times New Roman" w:eastAsiaTheme="minorEastAsia"/>
          <w:b/>
          <w:bCs/>
          <w:i w:val="0"/>
          <w:iCs/>
          <w:kern w:val="2"/>
          <w:sz w:val="28"/>
          <w:szCs w:val="28"/>
          <w:lang w:val="en-US" w:eastAsia="zh-CN" w:bidi="ar-SA"/>
        </w:rPr>
      </w:pPr>
    </w:p>
    <w:p w14:paraId="0CA634F3">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i w:val="0"/>
          <w:iCs/>
          <w:kern w:val="2"/>
          <w:sz w:val="24"/>
          <w:szCs w:val="24"/>
          <w:lang w:val="en-US" w:eastAsia="zh-CN" w:bidi="ar-SA"/>
        </w:rPr>
        <w:t>1.</w:t>
      </w:r>
      <w:r>
        <w:rPr>
          <w:rFonts w:hint="default" w:ascii="Times New Roman" w:hAnsi="Times New Roman" w:cs="Times New Roman" w:eastAsiaTheme="minorEastAsia"/>
          <w:b/>
          <w:bCs/>
          <w:i w:val="0"/>
          <w:iCs/>
          <w:kern w:val="2"/>
          <w:sz w:val="24"/>
          <w:szCs w:val="24"/>
          <w:lang w:val="en-US" w:eastAsia="zh-CN" w:bidi="ar-SA"/>
        </w:rPr>
        <w:t>Data Screening</w:t>
      </w:r>
    </w:p>
    <w:p w14:paraId="1CE59412">
      <w:pPr>
        <w:widowControl w:val="0"/>
        <w:numPr>
          <w:numId w:val="0"/>
        </w:numPr>
        <w:pBdr>
          <w:top w:val="none" w:color="auto" w:sz="0" w:space="0"/>
          <w:left w:val="none" w:color="auto" w:sz="0" w:space="0"/>
          <w:bottom w:val="none" w:color="auto" w:sz="0" w:space="0"/>
          <w:right w:val="none" w:color="auto" w:sz="0" w:space="0"/>
        </w:pBdr>
        <w:shd w:val="clear"/>
        <w:ind w:firstLine="480" w:firstLineChars="200"/>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i w:val="0"/>
          <w:iCs/>
          <w:kern w:val="2"/>
          <w:sz w:val="24"/>
          <w:szCs w:val="24"/>
          <w:lang w:val="en-US" w:eastAsia="zh-CN" w:bidi="ar-SA"/>
        </w:rPr>
        <w:t>The children's assessment results were matched with their corresponding parental questionnaires. Parental questionnaires for children who did not complete the assessments due to absence or physical discomfort were excluded. On this basis, further cleaning of the questionnaire data was performed: if there were excessively large discrepancies in the scores of reverse-scored items or if the same option was selected in more than 50% of all questions, the corresponding questionnaire data were also excluded. The final questionnaire data used in this study contained no missing values.</w:t>
      </w:r>
    </w:p>
    <w:p w14:paraId="716FA4ED">
      <w:pPr>
        <w:widowControl w:val="0"/>
        <w:numPr>
          <w:ilvl w:val="0"/>
          <w:numId w:val="0"/>
        </w:numPr>
        <w:pBdr>
          <w:top w:val="none" w:color="auto" w:sz="0" w:space="0"/>
          <w:left w:val="none" w:color="auto" w:sz="0" w:space="0"/>
          <w:bottom w:val="none" w:color="auto" w:sz="0" w:space="0"/>
          <w:right w:val="none" w:color="auto" w:sz="0" w:space="0"/>
        </w:pBdr>
        <w:shd w:val="clear"/>
        <w:ind w:left="0" w:leftChars="0" w:firstLine="0" w:firstLineChars="0"/>
        <w:jc w:val="both"/>
        <w:rPr>
          <w:rFonts w:hint="default" w:ascii="Times New Roman" w:hAnsi="Times New Roman" w:cs="Times New Roman" w:eastAsiaTheme="minorEastAsia"/>
          <w:b/>
          <w:bCs/>
          <w:i w:val="0"/>
          <w:iCs/>
          <w:kern w:val="2"/>
          <w:sz w:val="24"/>
          <w:szCs w:val="24"/>
          <w:lang w:val="en-US" w:eastAsia="zh-CN" w:bidi="ar-SA"/>
        </w:rPr>
      </w:pPr>
      <w:r>
        <w:rPr>
          <w:rFonts w:hint="default" w:ascii="Times New Roman" w:hAnsi="Times New Roman" w:cs="Times New Roman" w:eastAsiaTheme="minorEastAsia"/>
          <w:b/>
          <w:bCs/>
          <w:i w:val="0"/>
          <w:iCs/>
          <w:kern w:val="2"/>
          <w:sz w:val="24"/>
          <w:szCs w:val="24"/>
          <w:lang w:val="en-US" w:eastAsia="zh-CN" w:bidi="ar-SA"/>
        </w:rPr>
        <w:t>2.</w:t>
      </w:r>
      <w:r>
        <w:rPr>
          <w:rFonts w:hint="default" w:ascii="Times New Roman" w:hAnsi="Times New Roman" w:cs="Times New Roman" w:eastAsiaTheme="minorEastAsia"/>
          <w:b/>
          <w:bCs/>
          <w:i w:val="0"/>
          <w:iCs/>
          <w:kern w:val="2"/>
          <w:sz w:val="24"/>
          <w:szCs w:val="24"/>
          <w:lang w:val="en-US" w:eastAsia="zh-CN" w:bidi="ar-SA"/>
        </w:rPr>
        <w:t>Variable Transformation</w:t>
      </w:r>
    </w:p>
    <w:p w14:paraId="76364E09">
      <w:pPr>
        <w:widowControl w:val="0"/>
        <w:numPr>
          <w:numId w:val="0"/>
        </w:numPr>
        <w:pBdr>
          <w:top w:val="none" w:color="auto" w:sz="0" w:space="0"/>
          <w:left w:val="none" w:color="auto" w:sz="0" w:space="0"/>
          <w:bottom w:val="none" w:color="auto" w:sz="0" w:space="0"/>
          <w:right w:val="none" w:color="auto" w:sz="0" w:space="0"/>
        </w:pBdr>
        <w:shd w:val="clear"/>
        <w:ind w:leftChars="0" w:firstLine="480" w:firstLineChars="200"/>
        <w:jc w:val="both"/>
        <w:rPr>
          <w:rFonts w:hint="default" w:ascii="Times New Roman" w:hAnsi="Times New Roman" w:cs="Times New Roman" w:eastAsiaTheme="minorEastAsia"/>
          <w:i w:val="0"/>
          <w:iCs/>
          <w:kern w:val="2"/>
          <w:sz w:val="24"/>
          <w:szCs w:val="24"/>
          <w:lang w:val="en-US" w:eastAsia="zh-CN" w:bidi="ar-SA"/>
        </w:rPr>
      </w:pPr>
      <w:r>
        <w:rPr>
          <w:rFonts w:hint="default" w:ascii="Times New Roman" w:hAnsi="Times New Roman" w:cs="Times New Roman" w:eastAsiaTheme="minorEastAsia"/>
          <w:i w:val="0"/>
          <w:iCs/>
          <w:kern w:val="2"/>
          <w:sz w:val="24"/>
          <w:szCs w:val="24"/>
          <w:lang w:val="en-US" w:eastAsia="zh-CN" w:bidi="ar-SA"/>
        </w:rPr>
        <w:t>To facilitate cross-variable comparisons, all continuous variables were standardized using Z-scores.</w:t>
      </w:r>
      <w:bookmarkStart w:id="0" w:name="_GoBack"/>
      <w:bookmarkEnd w:id="0"/>
    </w:p>
    <w:p w14:paraId="67BCD043">
      <w:pPr>
        <w:widowControl w:val="0"/>
        <w:numPr>
          <w:ilvl w:val="0"/>
          <w:numId w:val="0"/>
        </w:numPr>
        <w:pBdr>
          <w:top w:val="none" w:color="auto" w:sz="0" w:space="0"/>
          <w:left w:val="none" w:color="auto" w:sz="0" w:space="0"/>
          <w:bottom w:val="none" w:color="auto" w:sz="0" w:space="0"/>
          <w:right w:val="none" w:color="auto" w:sz="0" w:space="0"/>
        </w:pBdr>
        <w:shd w:val="clear"/>
        <w:jc w:val="both"/>
        <w:rPr>
          <w:rFonts w:hint="default" w:ascii="Times New Roman" w:hAnsi="Times New Roman" w:cs="Times New Roman" w:eastAsiaTheme="minorEastAsia"/>
          <w:i w:val="0"/>
          <w:iCs/>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55678A"/>
    <w:rsid w:val="2C300E8E"/>
    <w:rsid w:val="4255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08"/>
    </w:pPr>
    <w:rPr>
      <w:sz w:val="24"/>
      <w:szCs w:val="24"/>
    </w:rPr>
  </w:style>
  <w:style w:type="paragraph" w:styleId="3">
    <w:name w:val="Normal (Web)"/>
    <w:basedOn w:val="1"/>
    <w:uiPriority w:val="0"/>
    <w:rPr>
      <w:sz w:val="24"/>
    </w:rPr>
  </w:style>
  <w:style w:type="character" w:styleId="6">
    <w:name w:val="Strong"/>
    <w:basedOn w:val="5"/>
    <w:qFormat/>
    <w:uiPriority w:val="0"/>
    <w:rPr>
      <w:b/>
    </w:rPr>
  </w:style>
  <w:style w:type="paragraph" w:styleId="7">
    <w:name w:val="List Paragraph"/>
    <w:basedOn w:val="1"/>
    <w:qFormat/>
    <w:uiPriority w:val="1"/>
    <w:pPr>
      <w:ind w:left="528" w:hanging="421"/>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17</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2026-01-13T15:13:00Z</dcterms:created>
  <dc:creator>石头糖</dc:creator>
  <cp:lastModifiedBy>石头糖</cp:lastModifiedBy>
  <dcterms:modified xsi:type="dcterms:W3CDTF">2026-01-13T16:10:22Z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E432EAB2AA77449E88F3CBCA32A2E061_11</vt:lpwstr>
  </property>
  <property fmtid="{D5CDD505-2E9C-101B-9397-08002B2CF9AE}" pid="4" name="KSOTemplateDocerSaveRecord">
    <vt:lpwstr>eyJoZGlkIjoiZTUxMjQwZTEyZDdlMjk0MDg0ZDQ3NTk2OTAyZjM2MDAiLCJ1c2VySWQiOiI0MTI2OTM3MDIifQ==</vt:lpwstr>
  </property>
</Properties>
</file>